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Non-Compete Agreement in the UK</w:t>
      </w:r>
    </w:p>
    <w:p>
      <w:pPr>
        <w:spacing w:after="140"/>
      </w:pPr>
      <w:r>
        <w:rPr>
          <w:i/>
          <w:color w:val="666666"/>
          <w:sz w:val="18"/>
          <w:szCs w:val="18"/>
        </w:rPr>
        <w:t xml:space="preserve">Drafting checklist. Sources verified 2026-09-03. Not legal advice.</w:t>
      </w:r>
    </w:p>
    <w:p>
      <w:pPr>
        <w:spacing w:after="140"/>
      </w:pPr>
      <w:r>
        <w:t xml:space="preserve">No UK statute caps the length of a post-termination non-compete. Enforceability rests on the common law restraint of trade doctrine, under which the clause is void unless the employer shows it protects a legitimate interest and goes no further than reasonably necessary. A three-month statutory limit was announced in May 2023 but never legislated.</w:t>
      </w:r>
    </w:p>
    <w:p>
      <w:pPr>
        <w:spacing w:before="320" w:after="120"/>
      </w:pPr>
      <w:r>
        <w:rPr>
          <w:b/>
          <w:sz w:val="26"/>
          <w:szCs w:val="26"/>
        </w:rPr>
        <w:t xml:space="preserve">Governing law</w:t>
      </w:r>
    </w:p>
    <w:p>
      <w:pPr>
        <w:spacing w:after="140"/>
      </w:pPr>
      <w:r>
        <w:t xml:space="preserve">Post-termination restrictions are governed by the common law doctrine of restraint of trade, applied most recently at the highest level by the Supreme Court in Tillman v Egon Zehnder Ltd. There is no UK statute limiting non-compete duration.</w:t>
      </w:r>
    </w:p>
    <w:p>
      <w:pPr>
        <w:ind w:left="360"/>
        <w:spacing w:after="200"/>
      </w:pPr>
      <w:r>
        <w:rPr>
          <w:color w:val="666666"/>
          <w:sz w:val="18"/>
          <w:szCs w:val="18"/>
        </w:rPr>
        <w:t xml:space="preserve">Source: </w:t>
      </w:r>
      <w:hyperlink r:id="rId100">
        <w:r>
          <w:rPr>
            <w:color w:val="0563C1"/>
            <w:u w:val="single"/>
            <w:sz w:val="18"/>
          </w:rPr>
          <w:t xml:space="preserve">Tillman v Egon Zehnder Ltd [2019] UKSC 32</w:t>
        </w:r>
      </w:hyperlink>
    </w:p>
    <w:p>
      <w:pPr>
        <w:spacing w:before="320" w:after="120"/>
      </w:pPr>
      <w:r>
        <w:rPr>
          <w:b/>
          <w:sz w:val="26"/>
          <w:szCs w:val="26"/>
        </w:rPr>
        <w:t xml:space="preserve">What the document has to contain in the UK</w:t>
      </w:r>
    </w:p>
    <w:p>
      <w:pPr>
        <w:ind w:left="360" w:hanging="360"/>
        <w:spacing w:after="80"/>
      </w:pPr>
      <w:r>
        <w:t xml:space="preserve">• </w:t>
      </w:r>
      <w:r>
        <w:t xml:space="preserve">The starting point is unenforceability. As the Department for Business and Trade puts it, a non-compete clause, as with any clause in restraint of trade, is unenforceable unless the employer can demonstrate it is reasonable.</w:t>
      </w:r>
    </w:p>
    <w:p>
      <w:pPr>
        <w:ind w:left="360"/>
        <w:spacing w:after="200"/>
      </w:pPr>
      <w:r>
        <w:rPr>
          <w:color w:val="666666"/>
          <w:sz w:val="18"/>
          <w:szCs w:val="18"/>
        </w:rPr>
        <w:t xml:space="preserve">Source: </w:t>
      </w:r>
      <w:hyperlink r:id="rId101">
        <w:r>
          <w:rPr>
            <w:color w:val="0563C1"/>
            <w:u w:val="single"/>
            <w:sz w:val="18"/>
          </w:rPr>
          <w:t xml:space="preserve">Department for Business and Trade, Working paper on options for reform of non-compete clauses in employment contracts (26 November 2025)</w:t>
        </w:r>
      </w:hyperlink>
    </w:p>
    <w:p>
      <w:pPr>
        <w:ind w:left="360" w:hanging="360"/>
        <w:spacing w:after="80"/>
      </w:pPr>
      <w:r>
        <w:t xml:space="preserve">• </w:t>
      </w:r>
      <w:r>
        <w:t xml:space="preserve">The doctrine catches wide formulations, not only outright bans on employment. In Tillman the Supreme Court held that a covenant preventing the employee being concerned or interested in a competing business fell within it, rejecting the argument that a prohibition on shareholding sat outside.</w:t>
      </w:r>
    </w:p>
    <w:p>
      <w:pPr>
        <w:ind w:left="360"/>
        <w:spacing w:after="200"/>
      </w:pPr>
      <w:r>
        <w:rPr>
          <w:color w:val="666666"/>
          <w:sz w:val="18"/>
          <w:szCs w:val="18"/>
        </w:rPr>
        <w:t xml:space="preserve">Source: </w:t>
      </w:r>
      <w:hyperlink r:id="rId102">
        <w:r>
          <w:rPr>
            <w:color w:val="0563C1"/>
            <w:u w:val="single"/>
            <w:sz w:val="18"/>
          </w:rPr>
          <w:t xml:space="preserve">Tillman v Egon Zehnder Ltd [2019] UKSC 32</w:t>
        </w:r>
      </w:hyperlink>
    </w:p>
    <w:p>
      <w:pPr>
        <w:ind w:left="360" w:hanging="360"/>
        <w:spacing w:after="80"/>
      </w:pPr>
      <w:r>
        <w:t xml:space="preserve">• </w:t>
      </w:r>
      <w:r>
        <w:t xml:space="preserve">A court may sever offending words but may not rewrite the clause. The Supreme Court adopted a three-part test: the unenforceable provision must be removable without adding to or modifying the wording of what remains, the remaining terms must continue to be supported by adequate consideration, and removal must not generate any major change in the overall effect of all the post-employment restraints in the contract.</w:t>
      </w:r>
    </w:p>
    <w:p>
      <w:pPr>
        <w:ind w:left="360"/>
        <w:spacing w:after="200"/>
      </w:pPr>
      <w:r>
        <w:rPr>
          <w:color w:val="666666"/>
          <w:sz w:val="18"/>
          <w:szCs w:val="18"/>
        </w:rPr>
        <w:t xml:space="preserve">Source: </w:t>
      </w:r>
      <w:hyperlink r:id="rId103">
        <w:r>
          <w:rPr>
            <w:color w:val="0563C1"/>
            <w:u w:val="single"/>
            <w:sz w:val="18"/>
          </w:rPr>
          <w:t xml:space="preserve">Tillman v Egon Zehnder Ltd [2019] UKSC 32</w:t>
        </w:r>
      </w:hyperlink>
    </w:p>
    <w:p>
      <w:pPr>
        <w:ind w:left="360" w:hanging="360"/>
        <w:spacing w:after="80"/>
      </w:pPr>
      <w:r>
        <w:t xml:space="preserve">• </w:t>
      </w:r>
      <w:r>
        <w:t xml:space="preserve">There is no statutory maximum duration. The previous government announced on 10 May 2023 that it would introduce a three-month limit, but the Department for Business and Trade records that no action was taken and its November 2025 working paper reopens the question.</w:t>
      </w:r>
    </w:p>
    <w:p>
      <w:pPr>
        <w:ind w:left="360"/>
        <w:spacing w:after="200"/>
      </w:pPr>
      <w:r>
        <w:rPr>
          <w:color w:val="666666"/>
          <w:sz w:val="18"/>
          <w:szCs w:val="18"/>
        </w:rPr>
        <w:t xml:space="preserve">Source: </w:t>
      </w:r>
      <w:hyperlink r:id="rId104">
        <w:r>
          <w:rPr>
            <w:color w:val="0563C1"/>
            <w:u w:val="single"/>
            <w:sz w:val="18"/>
          </w:rPr>
          <w:t xml:space="preserve">Department for Business and Trade, Working paper on options for reform of non-compete clauses in employment contracts</w:t>
        </w:r>
      </w:hyperlink>
    </w:p>
    <w:p>
      <w:pPr>
        <w:spacing w:before="320" w:after="120"/>
      </w:pPr>
      <w:r>
        <w:rPr>
          <w:b/>
          <w:sz w:val="26"/>
          <w:szCs w:val="26"/>
        </w:rPr>
        <w:t xml:space="preserve">What catches drafters out</w:t>
      </w:r>
    </w:p>
    <w:p>
      <w:pPr>
        <w:ind w:left="360" w:hanging="360"/>
        <w:spacing w:after="80"/>
      </w:pPr>
      <w:r>
        <w:t xml:space="preserve">• </w:t>
      </w:r>
      <w:r>
        <w:t xml:space="preserve">Drafting to a three-month ceiling on the assumption it is law. The limit was announced in May 2023 and never enacted, so duration is still assessed case by case for reasonableness rather than measured against a statutory cap.</w:t>
      </w:r>
    </w:p>
    <w:p>
      <w:pPr>
        <w:ind w:left="360"/>
        <w:spacing w:after="200"/>
      </w:pPr>
      <w:r>
        <w:rPr>
          <w:color w:val="666666"/>
          <w:sz w:val="18"/>
          <w:szCs w:val="18"/>
        </w:rPr>
        <w:t xml:space="preserve">Source: </w:t>
      </w:r>
      <w:hyperlink r:id="rId105">
        <w:r>
          <w:rPr>
            <w:color w:val="0563C1"/>
            <w:u w:val="single"/>
            <w:sz w:val="18"/>
          </w:rPr>
          <w:t xml:space="preserve">Department for Business and Trade, Working paper on options for reform of non-compete clauses in employment contracts</w:t>
        </w:r>
      </w:hyperlink>
    </w:p>
    <w:p>
      <w:pPr>
        <w:ind w:left="360" w:hanging="360"/>
        <w:spacing w:after="80"/>
      </w:pPr>
      <w:r>
        <w:t xml:space="preserve">• </w:t>
      </w:r>
      <w:r>
        <w:t xml:space="preserve">Relying on a severance clause to rescue over-wide drafting. Tillman permits deletion of words but not the addition or modification of wording, and severance also fails if removing the words produces a major change in the overall effect of the post-employment restraints.</w:t>
      </w:r>
    </w:p>
    <w:p>
      <w:pPr>
        <w:ind w:left="360"/>
        <w:spacing w:after="200"/>
      </w:pPr>
      <w:r>
        <w:rPr>
          <w:color w:val="666666"/>
          <w:sz w:val="18"/>
          <w:szCs w:val="18"/>
        </w:rPr>
        <w:t xml:space="preserve">Source: </w:t>
      </w:r>
      <w:hyperlink r:id="rId106">
        <w:r>
          <w:rPr>
            <w:color w:val="0563C1"/>
            <w:u w:val="single"/>
            <w:sz w:val="18"/>
          </w:rPr>
          <w:t xml:space="preserve">Tillman v Egon Zehnder Ltd [2019] UKSC 32</w:t>
        </w:r>
      </w:hyperlink>
    </w:p>
    <w:p>
      <w:pPr>
        <w:spacing w:before="320" w:after="120"/>
      </w:pPr>
      <w:r>
        <w:rPr>
          <w:b/>
          <w:sz w:val="26"/>
          <w:szCs w:val="26"/>
        </w:rPr>
        <w:t xml:space="preserve">Common questions</w:t>
      </w:r>
    </w:p>
    <w:p>
      <w:pPr>
        <w:ind w:left="360" w:hanging="360"/>
        <w:spacing w:after="80"/>
      </w:pPr>
      <w:r>
        <w:t xml:space="preserve">• </w:t>
      </w:r>
      <w:r>
        <w:t xml:space="preserve">Are non-compete clauses enforceable in the UK?</w:t>
      </w:r>
    </w:p>
    <w:p>
      <w:pPr>
        <w:spacing w:after="140"/>
      </w:pPr>
      <w:r>
        <w:t xml:space="preserve">They can be, but the employer has to justify them. The Department for Business and Trade's November 2025 working paper states that the starting point under current law is that a non-compete clause, as with any clause in restraint of trade, is unenforceable unless the employer can demonstrate it is reasonable. In Tillman v Egon Zehnder Ltd [2019] UKSC 32 the Supreme Court confirmed the doctrine reaches even a prohibition on being interested in a competing business.</w:t>
      </w:r>
    </w:p>
    <w:p>
      <w:pPr>
        <w:ind w:left="360" w:hanging="360"/>
        <w:spacing w:after="80"/>
      </w:pPr>
      <w:r>
        <w:t xml:space="preserve">• </w:t>
      </w:r>
      <w:r>
        <w:t xml:space="preserve">Is there a maximum length for a UK non-compete?</w:t>
      </w:r>
    </w:p>
    <w:p>
      <w:pPr>
        <w:spacing w:after="140"/>
      </w:pPr>
      <w:r>
        <w:t xml:space="preserve">No. No UK statute caps the duration. The previous government announced on 10 May 2023 that it would introduce a three-month statutory limit, but the Department for Business and Trade's working paper of 26 November 2025 records that no action was taken and reopens the question. Length is assessed case by case against the restraint of trade doctrine.</w:t>
      </w:r>
    </w:p>
    <w:p>
      <w:pPr>
        <w:ind w:left="360" w:hanging="360"/>
        <w:spacing w:after="80"/>
      </w:pPr>
      <w:r>
        <w:t xml:space="preserve">• </w:t>
      </w:r>
      <w:r>
        <w:t xml:space="preserve">Can a UK court narrow a non-compete that goes too far?</w:t>
      </w:r>
    </w:p>
    <w:p>
      <w:pPr>
        <w:spacing w:after="140"/>
      </w:pPr>
      <w:r>
        <w:t xml:space="preserve">Only by deleting words, not by rewriting them. Tillman v Egon Zehnder Ltd [2019] UKSC 32 adopted a three-part severance test: the unenforceable provision must be capable of removal without the necessity of adding to or modifying the wording of what remains, the remaining terms must continue to be supported by adequate consideration, and removal must not generate any major change in the overall effect of all the post-employment restraints in the contract.</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Kingdom review any document before it is signed.</w:t>
      </w:r>
    </w:p>
    <w:p>
      <w:pPr>
        <w:spacing w:after="140"/>
      </w:pPr>
      <w:r>
        <w:rPr>
          <w:i/>
          <w:color w:val="666666"/>
          <w:sz w:val="18"/>
          <w:szCs w:val="18"/>
        </w:rPr>
        <w:t xml:space="preserve">HAQQ Academy — academy.haqq.ai/document-library/non-compete-agreement/united-kingdom</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caselaw.nationalarchives.gov.uk/uksc/2019/32" TargetMode="External"/><Relationship Id="rId101" Type="http://schemas.openxmlformats.org/officeDocument/2006/relationships/hyperlink" Target="https://www.gov.uk/government/publications/reform-of-non-compete-clauses-in-employment-contracts-working-paper/working-paper-on-options-for-reform-of-non-compete-clauses-in-employment-contracts" TargetMode="External"/><Relationship Id="rId102" Type="http://schemas.openxmlformats.org/officeDocument/2006/relationships/hyperlink" Target="https://caselaw.nationalarchives.gov.uk/uksc/2019/32" TargetMode="External"/><Relationship Id="rId103" Type="http://schemas.openxmlformats.org/officeDocument/2006/relationships/hyperlink" Target="https://caselaw.nationalarchives.gov.uk/uksc/2019/32" TargetMode="External"/><Relationship Id="rId104" Type="http://schemas.openxmlformats.org/officeDocument/2006/relationships/hyperlink" Target="https://www.gov.uk/government/publications/reform-of-non-compete-clauses-in-employment-contracts-working-paper/working-paper-on-options-for-reform-of-non-compete-clauses-in-employment-contracts" TargetMode="External"/><Relationship Id="rId105" Type="http://schemas.openxmlformats.org/officeDocument/2006/relationships/hyperlink" Target="https://www.gov.uk/government/publications/reform-of-non-compete-clauses-in-employment-contracts-working-paper/working-paper-on-options-for-reform-of-non-compete-clauses-in-employment-contracts" TargetMode="External"/><Relationship Id="rId106" Type="http://schemas.openxmlformats.org/officeDocument/2006/relationships/hyperlink" Target="https://caselaw.nationalarchives.gov.uk/uksc/2019/32" TargetMode="External"/></Relationships>
</file>